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漯河市市场监督管理局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关于依法实施行政许可事项的情况说明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以来，我局按照国家发改委、商务部《市场准入负面清单》文件要求，依法实施行政许可，多举措贯彻落实市场准入负面清单政策。截至2023年7月底，全市共有市场主体38.44万户，注册资本4745.87亿元，同比分别增长12.77%、15.49%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一是认真做好清单落地实施。</w:t>
      </w:r>
      <w:r>
        <w:rPr>
          <w:rFonts w:hint="eastAsia" w:ascii="仿宋" w:hAnsi="仿宋" w:eastAsia="仿宋" w:cs="仿宋"/>
          <w:sz w:val="32"/>
          <w:szCs w:val="32"/>
        </w:rPr>
        <w:t>充分认识实行市场准入负面清单制度的重要性和紧迫性，全面推行“全国一张清单”模式，组织相关业务科室对负面清单进行认真学习，增强对负面清单制度的了解和掌握，严格执行全国统一的《市场准入负面清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2022年版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》，对清单之外的行业、领域、业务等，各类市场主体皆可依法平等进入，不得违规另设市场准入行政审批。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二是持续放宽市场准入门槛。</w:t>
      </w:r>
      <w:r>
        <w:rPr>
          <w:rFonts w:hint="eastAsia" w:ascii="仿宋" w:hAnsi="仿宋" w:eastAsia="仿宋" w:cs="仿宋"/>
          <w:sz w:val="32"/>
          <w:szCs w:val="32"/>
        </w:rPr>
        <w:t>推行经营范围登记规范化，有效解决经营范围申请填报难、表述不规范、标准不一致等问题。实行住所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经营场所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申报承诺制度，实施“一照多址”和“一址多照”，方便企业扩大经营规模。推进企业名称自主申报工作，提高企业名称登记效率，减少“近似名称”人工干预。开展工业产品生产许可证有关政策、标准和技术规范宣传解读，加强对企业申办许可证的指导，帮助企业便利取证。落实容缺制度，对于不需要现场核查的食品生产许可，先将食品生产许可证打印发给企业，再让企业提供纸质材料，对于纸质材料不齐或者不规范的，限期提供或者整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三是全市实行实施涉企经营许可事项清单管理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联合市政数局印发《漯河市“证照分离”改革事项清单（2022年版）》，积极推动“证照分离”改为备案的事项纳入“多证合一”范围。“证照分离”改革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项领先国家标准，进一步推进涉企经营许可审批改革，实施区域和事项“两个全覆盖”，推动“照后减证”和简化审批，实现准入准营同步提速。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四是加强负面清单政策宣传。</w:t>
      </w:r>
      <w:r>
        <w:rPr>
          <w:rFonts w:hint="eastAsia" w:ascii="仿宋" w:hAnsi="仿宋" w:eastAsia="仿宋" w:cs="仿宋"/>
          <w:sz w:val="32"/>
          <w:szCs w:val="32"/>
        </w:rPr>
        <w:t>及时将《负面清单》发布到市局内、外网，方便群众查阅了解。同时，将涉及我局的食品生产许可、食品经营许可、药品许可、医疗器械经营许可、特种设备许可、重要工业产品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食品相关产品、化肥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生产许可等业务办理事项，在河南政务服务网公开相应事项的申请条件、设定依据、申请材料、办理流程等基本信息，并进一步缩减办理时限，提高事项办理效率，极大地方便了企业办事。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5120" w:firstLineChars="16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napToGrid/>
          <w:sz w:val="32"/>
          <w:szCs w:val="32"/>
          <w:lang w:val="en-US" w:eastAsia="zh-CN"/>
        </w:rPr>
        <w:t>2023年8月8日</w:t>
      </w:r>
    </w:p>
    <w:sectPr>
      <w:pgSz w:w="11907" w:h="16839"/>
      <w:pgMar w:top="1431" w:right="1393" w:bottom="1701" w:left="15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hhZjQyMDJkNTlkNDE3MDI0MDZhMTQwNTk4OTVjNWMifQ=="/>
  </w:docVars>
  <w:rsids>
    <w:rsidRoot w:val="00000000"/>
    <w:rsid w:val="12E404A4"/>
    <w:rsid w:val="2077508B"/>
    <w:rsid w:val="21CD593E"/>
    <w:rsid w:val="2E110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889</Words>
  <Characters>927</Characters>
  <TotalTime>5</TotalTime>
  <ScaleCrop>false</ScaleCrop>
  <LinksUpToDate>false</LinksUpToDate>
  <CharactersWithSpaces>927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2021-09-05T12:46:00Z</dcterms:created>
  <dc:creator>Administrator</dc:creator>
  <cp:lastModifiedBy>太多情绪没适当的表情1401082109</cp:lastModifiedBy>
  <dcterms:modified xsi:type="dcterms:W3CDTF">2023-08-10T03:04:42Z</dcterms:modified>
  <dc:title>市政府常务会议材料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2023-08-10T10:36:21Z</vt:filetime>
  </property>
  <property fmtid="{D5CDD505-2E9C-101B-9397-08002B2CF9AE}" pid="4" name="KSOProductBuildVer">
    <vt:lpwstr>2052-12.1.0.15120</vt:lpwstr>
  </property>
  <property fmtid="{D5CDD505-2E9C-101B-9397-08002B2CF9AE}" pid="5" name="ICV">
    <vt:lpwstr>33349D21E39D49818B80098959F0DC57_13</vt:lpwstr>
  </property>
</Properties>
</file>